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A8" w:rsidRDefault="00A277A8" w:rsidP="00410EF9">
      <w:pPr>
        <w:jc w:val="center"/>
        <w:rPr>
          <w:b/>
          <w:sz w:val="28"/>
          <w:szCs w:val="28"/>
        </w:rPr>
      </w:pPr>
      <w:r>
        <w:rPr>
          <w:b/>
          <w:sz w:val="28"/>
          <w:szCs w:val="28"/>
        </w:rPr>
        <w:t xml:space="preserve">Картотека мультимедийного </w:t>
      </w:r>
      <w:r w:rsidR="009F6E9C">
        <w:rPr>
          <w:b/>
          <w:sz w:val="28"/>
          <w:szCs w:val="28"/>
        </w:rPr>
        <w:t xml:space="preserve">психолого-педагогического </w:t>
      </w:r>
      <w:r>
        <w:rPr>
          <w:b/>
          <w:sz w:val="28"/>
          <w:szCs w:val="28"/>
        </w:rPr>
        <w:t xml:space="preserve">сопровождения </w:t>
      </w:r>
      <w:r w:rsidR="009F6E9C">
        <w:rPr>
          <w:b/>
          <w:sz w:val="28"/>
          <w:szCs w:val="28"/>
        </w:rPr>
        <w:t>образовательного процесса в ДОУ</w:t>
      </w:r>
    </w:p>
    <w:p w:rsidR="00410EF9" w:rsidRDefault="00410EF9" w:rsidP="00410EF9">
      <w:pPr>
        <w:jc w:val="center"/>
      </w:pPr>
    </w:p>
    <w:tbl>
      <w:tblPr>
        <w:tblStyle w:val="a3"/>
        <w:tblW w:w="0" w:type="auto"/>
        <w:tblLayout w:type="fixed"/>
        <w:tblLook w:val="04A0" w:firstRow="1" w:lastRow="0" w:firstColumn="1" w:lastColumn="0" w:noHBand="0" w:noVBand="1"/>
      </w:tblPr>
      <w:tblGrid>
        <w:gridCol w:w="675"/>
        <w:gridCol w:w="2835"/>
        <w:gridCol w:w="6042"/>
      </w:tblGrid>
      <w:tr w:rsidR="002C3FAE" w:rsidRPr="009B0EBD" w:rsidTr="006E08E3">
        <w:trPr>
          <w:trHeight w:val="2112"/>
        </w:trPr>
        <w:tc>
          <w:tcPr>
            <w:tcW w:w="675" w:type="dxa"/>
          </w:tcPr>
          <w:p w:rsidR="002C3FAE" w:rsidRPr="009B0EBD" w:rsidRDefault="002C3FAE" w:rsidP="007D4692">
            <w:pPr>
              <w:pStyle w:val="a7"/>
              <w:numPr>
                <w:ilvl w:val="0"/>
                <w:numId w:val="1"/>
              </w:numPr>
              <w:jc w:val="center"/>
            </w:pPr>
          </w:p>
        </w:tc>
        <w:tc>
          <w:tcPr>
            <w:tcW w:w="2835" w:type="dxa"/>
          </w:tcPr>
          <w:p w:rsidR="00C45C39" w:rsidRPr="009B0EBD" w:rsidRDefault="00C45C39" w:rsidP="00410EF9">
            <w:pPr>
              <w:jc w:val="center"/>
            </w:pPr>
          </w:p>
          <w:p w:rsidR="002C3FAE" w:rsidRPr="009B0EBD" w:rsidRDefault="002C3FAE" w:rsidP="00410EF9">
            <w:pPr>
              <w:jc w:val="center"/>
            </w:pPr>
            <w:r w:rsidRPr="009B0EBD">
              <w:rPr>
                <w:noProof/>
              </w:rPr>
              <w:drawing>
                <wp:inline distT="0" distB="0" distL="0" distR="0" wp14:anchorId="20213CE3" wp14:editId="3629A0A4">
                  <wp:extent cx="984777" cy="984777"/>
                  <wp:effectExtent l="19050" t="0" r="5823" b="0"/>
                  <wp:docPr id="16" name="Рисунок 1" descr="C:\Users\Морозова\Desktop\AZBUKA2\AZBUKA2\azbu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Desktop\AZBUKA2\AZBUKA2\azbuka2.jpg"/>
                          <pic:cNvPicPr>
                            <a:picLocks noChangeAspect="1" noChangeArrowheads="1"/>
                          </pic:cNvPicPr>
                        </pic:nvPicPr>
                        <pic:blipFill>
                          <a:blip r:embed="rId6" cstate="print"/>
                          <a:stretch>
                            <a:fillRect/>
                          </a:stretch>
                        </pic:blipFill>
                        <pic:spPr bwMode="auto">
                          <a:xfrm>
                            <a:off x="0" y="0"/>
                            <a:ext cx="984777" cy="984777"/>
                          </a:xfrm>
                          <a:prstGeom prst="rect">
                            <a:avLst/>
                          </a:prstGeom>
                          <a:noFill/>
                          <a:ln w="9525">
                            <a:noFill/>
                            <a:miter lim="800000"/>
                            <a:headEnd/>
                            <a:tailEnd/>
                          </a:ln>
                        </pic:spPr>
                      </pic:pic>
                    </a:graphicData>
                  </a:graphic>
                </wp:inline>
              </w:drawing>
            </w:r>
          </w:p>
          <w:p w:rsidR="002C3FAE" w:rsidRPr="009B0EBD" w:rsidRDefault="002C3FAE" w:rsidP="00410EF9">
            <w:pPr>
              <w:jc w:val="center"/>
            </w:pPr>
            <w:r w:rsidRPr="009B0EBD">
              <w:t>«Пойди туда не знаю куда…»</w:t>
            </w:r>
          </w:p>
          <w:p w:rsidR="002C3FAE" w:rsidRPr="009B0EBD" w:rsidRDefault="002C3FAE" w:rsidP="00410EF9">
            <w:pPr>
              <w:jc w:val="center"/>
            </w:pPr>
          </w:p>
        </w:tc>
        <w:tc>
          <w:tcPr>
            <w:tcW w:w="6042" w:type="dxa"/>
          </w:tcPr>
          <w:p w:rsidR="002C3FAE" w:rsidRPr="009B0EBD" w:rsidRDefault="002C3FAE" w:rsidP="007D4692">
            <w:r w:rsidRPr="009B0EBD">
              <w:rPr>
                <w:shd w:val="clear" w:color="auto" w:fill="FFFFFF"/>
              </w:rPr>
              <w:t>Десять игр на развитие памяти, наблюдательности, логического мышления, пространственного воображения</w:t>
            </w:r>
          </w:p>
        </w:tc>
      </w:tr>
      <w:tr w:rsidR="002C3FAE" w:rsidRPr="009B0EBD" w:rsidTr="006E08E3">
        <w:trPr>
          <w:trHeight w:val="2966"/>
        </w:trPr>
        <w:tc>
          <w:tcPr>
            <w:tcW w:w="675" w:type="dxa"/>
          </w:tcPr>
          <w:p w:rsidR="002C3FAE" w:rsidRPr="009B0EBD" w:rsidRDefault="002C3FAE" w:rsidP="007D4692">
            <w:pPr>
              <w:pStyle w:val="a7"/>
              <w:numPr>
                <w:ilvl w:val="0"/>
                <w:numId w:val="1"/>
              </w:numPr>
              <w:jc w:val="center"/>
            </w:pPr>
          </w:p>
        </w:tc>
        <w:tc>
          <w:tcPr>
            <w:tcW w:w="2835" w:type="dxa"/>
          </w:tcPr>
          <w:p w:rsidR="00C45C39" w:rsidRPr="009B0EBD" w:rsidRDefault="00C45C39" w:rsidP="00410EF9">
            <w:pPr>
              <w:jc w:val="center"/>
            </w:pPr>
          </w:p>
          <w:p w:rsidR="002C3FAE" w:rsidRPr="009B0EBD" w:rsidRDefault="002C3FAE" w:rsidP="00410EF9">
            <w:pPr>
              <w:jc w:val="center"/>
            </w:pPr>
            <w:r w:rsidRPr="009B0EBD">
              <w:rPr>
                <w:noProof/>
              </w:rPr>
              <w:drawing>
                <wp:inline distT="0" distB="0" distL="0" distR="0" wp14:anchorId="60349DEE" wp14:editId="5D9B8B33">
                  <wp:extent cx="984777" cy="984777"/>
                  <wp:effectExtent l="19050" t="0" r="5823" b="0"/>
                  <wp:docPr id="19" name="Рисунок 1" descr="C:\Users\Морозова\Desktop\AZBUKA2\AZBUKA2\azbu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Desktop\AZBUKA2\AZBUKA2\azbuka2.jpg"/>
                          <pic:cNvPicPr>
                            <a:picLocks noChangeAspect="1" noChangeArrowheads="1"/>
                          </pic:cNvPicPr>
                        </pic:nvPicPr>
                        <pic:blipFill>
                          <a:blip r:embed="rId7" cstate="print"/>
                          <a:stretch>
                            <a:fillRect/>
                          </a:stretch>
                        </pic:blipFill>
                        <pic:spPr bwMode="auto">
                          <a:xfrm>
                            <a:off x="0" y="0"/>
                            <a:ext cx="984777" cy="984777"/>
                          </a:xfrm>
                          <a:prstGeom prst="rect">
                            <a:avLst/>
                          </a:prstGeom>
                          <a:noFill/>
                          <a:ln w="9525">
                            <a:noFill/>
                            <a:miter lim="800000"/>
                            <a:headEnd/>
                            <a:tailEnd/>
                          </a:ln>
                        </pic:spPr>
                      </pic:pic>
                    </a:graphicData>
                  </a:graphic>
                </wp:inline>
              </w:drawing>
            </w:r>
          </w:p>
          <w:p w:rsidR="002C3FAE" w:rsidRPr="009B0EBD" w:rsidRDefault="002C3FAE" w:rsidP="00410EF9">
            <w:pPr>
              <w:jc w:val="center"/>
            </w:pPr>
            <w:r w:rsidRPr="009B0EBD">
              <w:t>«Большая энциклопедия развивающих игр»</w:t>
            </w:r>
          </w:p>
          <w:p w:rsidR="002C3FAE" w:rsidRPr="009B0EBD" w:rsidRDefault="002C3FAE" w:rsidP="00410EF9">
            <w:pPr>
              <w:jc w:val="center"/>
            </w:pPr>
          </w:p>
        </w:tc>
        <w:tc>
          <w:tcPr>
            <w:tcW w:w="6042" w:type="dxa"/>
          </w:tcPr>
          <w:p w:rsidR="002C3FAE" w:rsidRPr="009B0EBD" w:rsidRDefault="002C3FAE" w:rsidP="007D4692">
            <w:r w:rsidRPr="009B0EBD">
              <w:rPr>
                <w:shd w:val="clear" w:color="auto" w:fill="FFFFFF"/>
              </w:rPr>
              <w:t>Замечательная интерактивная программа содержит самые веселые и забавные обучающие игры для малышей от двух до семи лет. Ребятам предстоит решить невероятно интересные задания, которые не только помогут подготовиться к первым школьным урокам, но и позволят быстро развить воображение. Сотни увлекательных развивающих игр включают задачки на развитие памяти, внимания, речи, мелкой моторики, логического мышления и творческих способностей.</w:t>
            </w:r>
          </w:p>
        </w:tc>
      </w:tr>
      <w:tr w:rsidR="006E08E3" w:rsidRPr="009B0EBD" w:rsidTr="006E08E3">
        <w:trPr>
          <w:trHeight w:val="2771"/>
        </w:trPr>
        <w:tc>
          <w:tcPr>
            <w:tcW w:w="675" w:type="dxa"/>
          </w:tcPr>
          <w:p w:rsidR="006E08E3" w:rsidRPr="009B0EBD" w:rsidRDefault="006E08E3" w:rsidP="007D4692">
            <w:pPr>
              <w:pStyle w:val="a7"/>
              <w:numPr>
                <w:ilvl w:val="0"/>
                <w:numId w:val="1"/>
              </w:numPr>
              <w:jc w:val="center"/>
            </w:pPr>
          </w:p>
        </w:tc>
        <w:tc>
          <w:tcPr>
            <w:tcW w:w="2835" w:type="dxa"/>
          </w:tcPr>
          <w:p w:rsidR="006E08E3" w:rsidRDefault="006E08E3" w:rsidP="00410EF9">
            <w:pPr>
              <w:jc w:val="center"/>
            </w:pPr>
          </w:p>
          <w:p w:rsidR="006E08E3" w:rsidRDefault="006E08E3" w:rsidP="00410EF9">
            <w:pPr>
              <w:jc w:val="center"/>
            </w:pPr>
            <w:r w:rsidRPr="009B0EBD">
              <w:rPr>
                <w:noProof/>
              </w:rPr>
              <w:drawing>
                <wp:inline distT="0" distB="0" distL="0" distR="0" wp14:anchorId="1E6EE820" wp14:editId="1FCBE6F3">
                  <wp:extent cx="676894" cy="1015179"/>
                  <wp:effectExtent l="0" t="0" r="0" b="0"/>
                  <wp:docPr id="1" name="Рисунок 1" descr="http://infourok.org/rasprodazha/ok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urok.org/rasprodazha/okr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041" cy="1015399"/>
                          </a:xfrm>
                          <a:prstGeom prst="rect">
                            <a:avLst/>
                          </a:prstGeom>
                          <a:noFill/>
                          <a:ln>
                            <a:noFill/>
                          </a:ln>
                        </pic:spPr>
                      </pic:pic>
                    </a:graphicData>
                  </a:graphic>
                </wp:inline>
              </w:drawing>
            </w:r>
          </w:p>
          <w:p w:rsidR="006E08E3" w:rsidRPr="009B0EBD" w:rsidRDefault="006E08E3" w:rsidP="006E08E3">
            <w:pPr>
              <w:jc w:val="center"/>
            </w:pPr>
          </w:p>
          <w:p w:rsidR="006E08E3" w:rsidRPr="009B0EBD" w:rsidRDefault="006E08E3" w:rsidP="006E08E3">
            <w:pPr>
              <w:jc w:val="center"/>
            </w:pPr>
            <w:r w:rsidRPr="009B0EBD">
              <w:t>«Окружающий мир»</w:t>
            </w:r>
          </w:p>
        </w:tc>
        <w:tc>
          <w:tcPr>
            <w:tcW w:w="6042" w:type="dxa"/>
          </w:tcPr>
          <w:p w:rsidR="006E08E3" w:rsidRPr="009B0EBD" w:rsidRDefault="006E08E3" w:rsidP="006E08E3">
            <w:r w:rsidRPr="009B0EBD">
              <w:t xml:space="preserve">45 </w:t>
            </w:r>
            <w:proofErr w:type="spellStart"/>
            <w:r w:rsidRPr="009B0EBD">
              <w:t>видеоуроков</w:t>
            </w:r>
            <w:proofErr w:type="spellEnd"/>
            <w:r w:rsidRPr="009B0EBD">
              <w:t xml:space="preserve"> по всем лексическим темам</w:t>
            </w:r>
          </w:p>
          <w:p w:rsidR="006E08E3" w:rsidRPr="009B0EBD" w:rsidRDefault="006E08E3" w:rsidP="006E08E3">
            <w:r w:rsidRPr="009B0EBD">
              <w:t>плюс бонусы:</w:t>
            </w:r>
          </w:p>
          <w:p w:rsidR="006E08E3" w:rsidRPr="009B0EBD" w:rsidRDefault="006E08E3" w:rsidP="006E08E3">
            <w:r w:rsidRPr="009B0EBD">
              <w:t>45 красочных презентаций</w:t>
            </w:r>
          </w:p>
          <w:p w:rsidR="006E08E3" w:rsidRPr="009B0EBD" w:rsidRDefault="006E08E3" w:rsidP="006E08E3">
            <w:pPr>
              <w:rPr>
                <w:shd w:val="clear" w:color="auto" w:fill="FFFFFF"/>
              </w:rPr>
            </w:pPr>
            <w:r w:rsidRPr="009B0EBD">
              <w:t>45 текстовых расшифровок</w:t>
            </w:r>
          </w:p>
        </w:tc>
      </w:tr>
      <w:tr w:rsidR="002C3FAE" w:rsidRPr="009B0EBD" w:rsidTr="006E08E3">
        <w:tc>
          <w:tcPr>
            <w:tcW w:w="675" w:type="dxa"/>
          </w:tcPr>
          <w:p w:rsidR="007D4692" w:rsidRPr="009B0EBD" w:rsidRDefault="007D4692" w:rsidP="007D4692">
            <w:pPr>
              <w:pStyle w:val="a7"/>
              <w:numPr>
                <w:ilvl w:val="0"/>
                <w:numId w:val="1"/>
              </w:numPr>
              <w:jc w:val="center"/>
            </w:pPr>
            <w:bookmarkStart w:id="0" w:name="_GoBack"/>
            <w:bookmarkEnd w:id="0"/>
          </w:p>
        </w:tc>
        <w:tc>
          <w:tcPr>
            <w:tcW w:w="2835" w:type="dxa"/>
          </w:tcPr>
          <w:p w:rsidR="00C45C39" w:rsidRPr="009B0EBD" w:rsidRDefault="00C45C39" w:rsidP="00410EF9">
            <w:pPr>
              <w:jc w:val="center"/>
            </w:pPr>
          </w:p>
          <w:p w:rsidR="007D4692" w:rsidRPr="009B0EBD" w:rsidRDefault="007D4692" w:rsidP="00410EF9">
            <w:pPr>
              <w:jc w:val="center"/>
            </w:pPr>
            <w:r w:rsidRPr="009B0EBD">
              <w:rPr>
                <w:noProof/>
              </w:rPr>
              <w:drawing>
                <wp:inline distT="0" distB="0" distL="0" distR="0" wp14:anchorId="767C3033" wp14:editId="1551FEA1">
                  <wp:extent cx="984777" cy="984777"/>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Desktop\AZBUKA2\AZBUKA2\azbuka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4777" cy="984777"/>
                          </a:xfrm>
                          <a:prstGeom prst="rect">
                            <a:avLst/>
                          </a:prstGeom>
                          <a:noFill/>
                          <a:ln w="9525">
                            <a:noFill/>
                            <a:miter lim="800000"/>
                            <a:headEnd/>
                            <a:tailEnd/>
                          </a:ln>
                        </pic:spPr>
                      </pic:pic>
                    </a:graphicData>
                  </a:graphic>
                </wp:inline>
              </w:drawing>
            </w:r>
          </w:p>
          <w:p w:rsidR="00BC182F" w:rsidRPr="009B0EBD" w:rsidRDefault="00BC182F" w:rsidP="00410EF9">
            <w:pPr>
              <w:jc w:val="center"/>
            </w:pPr>
            <w:r w:rsidRPr="009B0EBD">
              <w:t>«Длинный и короткий. Большой и маленький»</w:t>
            </w:r>
          </w:p>
        </w:tc>
        <w:tc>
          <w:tcPr>
            <w:tcW w:w="6042" w:type="dxa"/>
          </w:tcPr>
          <w:p w:rsidR="007D4692" w:rsidRPr="009B0EBD" w:rsidRDefault="00BC182F" w:rsidP="007D4692">
            <w:r w:rsidRPr="009B0EBD">
              <w:rPr>
                <w:color w:val="000000"/>
                <w:shd w:val="clear" w:color="auto" w:fill="FFFFFF"/>
              </w:rPr>
              <w:t>Книга поможет ребёнку с помощью педагогов или родителей освоить начальные понятия математики по темам «Большой и маленький», «Длинный и короткий». Задания расположены по принципу усложнения материала. Некоторые задания содержат подсказку – гномик с указкой. Чтобы усвоить материал ребёнку под руководством взрослого нужно проанализировать иллюстрации, основываясь на вопросах, представленных в книге.</w:t>
            </w:r>
          </w:p>
        </w:tc>
      </w:tr>
      <w:tr w:rsidR="002C3FAE" w:rsidRPr="009B0EBD" w:rsidTr="006E08E3">
        <w:tc>
          <w:tcPr>
            <w:tcW w:w="675" w:type="dxa"/>
          </w:tcPr>
          <w:p w:rsidR="007D4692" w:rsidRPr="009B0EBD" w:rsidRDefault="007D4692" w:rsidP="007D4692">
            <w:pPr>
              <w:pStyle w:val="a7"/>
              <w:numPr>
                <w:ilvl w:val="0"/>
                <w:numId w:val="1"/>
              </w:numPr>
              <w:jc w:val="center"/>
            </w:pPr>
          </w:p>
        </w:tc>
        <w:tc>
          <w:tcPr>
            <w:tcW w:w="2835" w:type="dxa"/>
          </w:tcPr>
          <w:p w:rsidR="00C45C39" w:rsidRPr="009B0EBD" w:rsidRDefault="00C45C39" w:rsidP="00410EF9">
            <w:pPr>
              <w:jc w:val="center"/>
            </w:pPr>
          </w:p>
          <w:p w:rsidR="007D4692" w:rsidRPr="009B0EBD" w:rsidRDefault="00C45C39" w:rsidP="00410EF9">
            <w:pPr>
              <w:jc w:val="center"/>
            </w:pPr>
            <w:r w:rsidRPr="009B0EBD">
              <w:rPr>
                <w:noProof/>
              </w:rPr>
              <w:drawing>
                <wp:inline distT="0" distB="0" distL="0" distR="0" wp14:anchorId="3F81516E" wp14:editId="5F1DC7AB">
                  <wp:extent cx="984777" cy="984777"/>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Desktop\AZBUKA2\AZBUKA2\azbuka2.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4777" cy="984777"/>
                          </a:xfrm>
                          <a:prstGeom prst="rect">
                            <a:avLst/>
                          </a:prstGeom>
                          <a:noFill/>
                          <a:ln w="9525">
                            <a:noFill/>
                            <a:miter lim="800000"/>
                            <a:headEnd/>
                            <a:tailEnd/>
                          </a:ln>
                        </pic:spPr>
                      </pic:pic>
                    </a:graphicData>
                  </a:graphic>
                </wp:inline>
              </w:drawing>
            </w:r>
          </w:p>
          <w:p w:rsidR="00C45C39" w:rsidRPr="009B0EBD" w:rsidRDefault="00C45C39" w:rsidP="00410EF9">
            <w:pPr>
              <w:jc w:val="center"/>
            </w:pPr>
            <w:r w:rsidRPr="009B0EBD">
              <w:t>«Высокий и низкий. Тонкий и толстый. Узкий и широкий»</w:t>
            </w:r>
          </w:p>
        </w:tc>
        <w:tc>
          <w:tcPr>
            <w:tcW w:w="6042" w:type="dxa"/>
          </w:tcPr>
          <w:p w:rsidR="007D4692" w:rsidRPr="009B0EBD" w:rsidRDefault="00C45C39" w:rsidP="007D4692">
            <w:r w:rsidRPr="009B0EBD">
              <w:rPr>
                <w:color w:val="000000"/>
                <w:shd w:val="clear" w:color="auto" w:fill="FFFFFF"/>
              </w:rPr>
              <w:t>«Какое дерево высокое, а какое низкое? Какая книга толстая, а какая тонкая? Какой мост узкий, а какой широкий?». На эти и другие вопросы должен ответить ребенок, осваивая начальные понятия математики, вынесенные в заглавие книги. А помогают ему сориентироваться в этих вопросах красочные иллюстрации и сказочный гномик с указкой.</w:t>
            </w:r>
          </w:p>
        </w:tc>
      </w:tr>
      <w:tr w:rsidR="002C3FAE" w:rsidRPr="009B0EBD" w:rsidTr="006E08E3">
        <w:tc>
          <w:tcPr>
            <w:tcW w:w="675" w:type="dxa"/>
          </w:tcPr>
          <w:p w:rsidR="007D4692" w:rsidRPr="009B0EBD" w:rsidRDefault="007D4692" w:rsidP="007D4692">
            <w:pPr>
              <w:pStyle w:val="a7"/>
              <w:numPr>
                <w:ilvl w:val="0"/>
                <w:numId w:val="1"/>
              </w:numPr>
              <w:jc w:val="center"/>
            </w:pPr>
          </w:p>
        </w:tc>
        <w:tc>
          <w:tcPr>
            <w:tcW w:w="2835" w:type="dxa"/>
          </w:tcPr>
          <w:p w:rsidR="00C45C39" w:rsidRPr="009B0EBD" w:rsidRDefault="00C45C39" w:rsidP="00410EF9">
            <w:pPr>
              <w:jc w:val="center"/>
            </w:pPr>
          </w:p>
          <w:p w:rsidR="007D4692" w:rsidRPr="009B0EBD" w:rsidRDefault="007D4692" w:rsidP="00410EF9">
            <w:pPr>
              <w:jc w:val="center"/>
            </w:pPr>
            <w:r w:rsidRPr="009B0EBD">
              <w:rPr>
                <w:noProof/>
              </w:rPr>
              <w:drawing>
                <wp:inline distT="0" distB="0" distL="0" distR="0" wp14:anchorId="20F9533A" wp14:editId="17FA9849">
                  <wp:extent cx="984777" cy="984777"/>
                  <wp:effectExtent l="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Desktop\AZBUKA2\AZBUKA2\azbuka2.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84777" cy="984777"/>
                          </a:xfrm>
                          <a:prstGeom prst="rect">
                            <a:avLst/>
                          </a:prstGeom>
                          <a:noFill/>
                          <a:ln w="9525">
                            <a:noFill/>
                            <a:miter lim="800000"/>
                            <a:headEnd/>
                            <a:tailEnd/>
                          </a:ln>
                        </pic:spPr>
                      </pic:pic>
                    </a:graphicData>
                  </a:graphic>
                </wp:inline>
              </w:drawing>
            </w:r>
          </w:p>
          <w:p w:rsidR="00C45C39" w:rsidRPr="009B0EBD" w:rsidRDefault="00C45C39" w:rsidP="00410EF9">
            <w:pPr>
              <w:jc w:val="center"/>
            </w:pPr>
            <w:r w:rsidRPr="009B0EBD">
              <w:t>«</w:t>
            </w:r>
            <w:proofErr w:type="gramStart"/>
            <w:r w:rsidRPr="009B0EBD">
              <w:t>Один-много</w:t>
            </w:r>
            <w:proofErr w:type="gramEnd"/>
            <w:r w:rsidRPr="009B0EBD">
              <w:t xml:space="preserve">. Много-один-ни одного. </w:t>
            </w:r>
            <w:proofErr w:type="gramStart"/>
            <w:r w:rsidRPr="009B0EBD">
              <w:t>Много-мало</w:t>
            </w:r>
            <w:proofErr w:type="gramEnd"/>
            <w:r w:rsidRPr="009B0EBD">
              <w:t>»</w:t>
            </w:r>
          </w:p>
        </w:tc>
        <w:tc>
          <w:tcPr>
            <w:tcW w:w="6042" w:type="dxa"/>
          </w:tcPr>
          <w:p w:rsidR="007D4692" w:rsidRPr="009B0EBD" w:rsidRDefault="00C45C39" w:rsidP="007D4692">
            <w:r w:rsidRPr="009B0EBD">
              <w:rPr>
                <w:color w:val="000000"/>
                <w:shd w:val="clear" w:color="auto" w:fill="FFFFFF"/>
              </w:rPr>
              <w:t>Чтобы освоить эти начальные понятия математики детям предстоит проанализировать иллюстрации, которые подобраны так, чтобы облегчить задание. Но не упростить его. Постепенно материал усложняется. Чтобы дать правильный ответ, ребенок должен сосредоточиться, подключить внимание и продемонстрировать свои аналитические способности.</w:t>
            </w:r>
          </w:p>
        </w:tc>
      </w:tr>
      <w:tr w:rsidR="002C3FAE" w:rsidRPr="009B0EBD" w:rsidTr="006E08E3">
        <w:tc>
          <w:tcPr>
            <w:tcW w:w="675" w:type="dxa"/>
          </w:tcPr>
          <w:p w:rsidR="007D4692" w:rsidRPr="009B0EBD" w:rsidRDefault="007D4692" w:rsidP="007D4692">
            <w:pPr>
              <w:pStyle w:val="a7"/>
              <w:numPr>
                <w:ilvl w:val="0"/>
                <w:numId w:val="1"/>
              </w:numPr>
              <w:jc w:val="center"/>
            </w:pPr>
          </w:p>
        </w:tc>
        <w:tc>
          <w:tcPr>
            <w:tcW w:w="2835" w:type="dxa"/>
          </w:tcPr>
          <w:p w:rsidR="00C45C39" w:rsidRPr="009B0EBD" w:rsidRDefault="00C45C39" w:rsidP="00410EF9">
            <w:pPr>
              <w:jc w:val="center"/>
            </w:pPr>
          </w:p>
          <w:p w:rsidR="007D4692" w:rsidRPr="009B0EBD" w:rsidRDefault="00C45C39" w:rsidP="00410EF9">
            <w:pPr>
              <w:jc w:val="center"/>
            </w:pPr>
            <w:r w:rsidRPr="009B0EBD">
              <w:rPr>
                <w:noProof/>
              </w:rPr>
              <w:drawing>
                <wp:inline distT="0" distB="0" distL="0" distR="0" wp14:anchorId="2CF6A8D2" wp14:editId="0DB7411B">
                  <wp:extent cx="984777" cy="984777"/>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Desktop\AZBUKA2\AZBUKA2\azbuka2.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84777" cy="984777"/>
                          </a:xfrm>
                          <a:prstGeom prst="rect">
                            <a:avLst/>
                          </a:prstGeom>
                          <a:noFill/>
                          <a:ln w="9525">
                            <a:noFill/>
                            <a:miter lim="800000"/>
                            <a:headEnd/>
                            <a:tailEnd/>
                          </a:ln>
                        </pic:spPr>
                      </pic:pic>
                    </a:graphicData>
                  </a:graphic>
                </wp:inline>
              </w:drawing>
            </w:r>
          </w:p>
          <w:p w:rsidR="00C45C39" w:rsidRPr="009B0EBD" w:rsidRDefault="00C45C39" w:rsidP="00410EF9">
            <w:pPr>
              <w:jc w:val="center"/>
            </w:pPr>
            <w:r w:rsidRPr="009B0EBD">
              <w:t>«Круг. Квадрат. Треугольник»</w:t>
            </w:r>
          </w:p>
        </w:tc>
        <w:tc>
          <w:tcPr>
            <w:tcW w:w="6042" w:type="dxa"/>
          </w:tcPr>
          <w:p w:rsidR="007D4692" w:rsidRPr="009B0EBD" w:rsidRDefault="00C45C39" w:rsidP="007D4692">
            <w:r w:rsidRPr="009B0EBD">
              <w:rPr>
                <w:color w:val="000000"/>
                <w:shd w:val="clear" w:color="auto" w:fill="FFFFFF"/>
              </w:rPr>
              <w:t>Как ребенку распознать круг, квадрат и треугольник? Какие окружающие предметы напоминают ему эти предметы? Эти начальные понятия математики поможет освоить предлагаемая книга. Поскольку учебный материал расположен по принципу усложнения, от детей потребуется умение анализировать и самостоятельно принимать решения.</w:t>
            </w:r>
          </w:p>
        </w:tc>
      </w:tr>
      <w:tr w:rsidR="00C45C39" w:rsidRPr="009B0EBD" w:rsidTr="006E08E3">
        <w:tc>
          <w:tcPr>
            <w:tcW w:w="675" w:type="dxa"/>
          </w:tcPr>
          <w:p w:rsidR="00C45C39" w:rsidRPr="009B0EBD" w:rsidRDefault="00C45C39" w:rsidP="007D4692">
            <w:pPr>
              <w:pStyle w:val="a7"/>
              <w:numPr>
                <w:ilvl w:val="0"/>
                <w:numId w:val="1"/>
              </w:numPr>
              <w:jc w:val="center"/>
            </w:pPr>
          </w:p>
        </w:tc>
        <w:tc>
          <w:tcPr>
            <w:tcW w:w="2835" w:type="dxa"/>
          </w:tcPr>
          <w:p w:rsidR="00C45C39" w:rsidRPr="009B0EBD" w:rsidRDefault="00C45C39" w:rsidP="00410EF9">
            <w:pPr>
              <w:jc w:val="center"/>
              <w:rPr>
                <w:noProof/>
              </w:rPr>
            </w:pPr>
          </w:p>
          <w:p w:rsidR="00C45C39" w:rsidRPr="009B0EBD" w:rsidRDefault="00C45C39" w:rsidP="00410EF9">
            <w:pPr>
              <w:jc w:val="center"/>
              <w:rPr>
                <w:noProof/>
              </w:rPr>
            </w:pPr>
            <w:r w:rsidRPr="009B0EBD">
              <w:rPr>
                <w:noProof/>
              </w:rPr>
              <w:drawing>
                <wp:inline distT="0" distB="0" distL="0" distR="0" wp14:anchorId="1016CF31" wp14:editId="56173728">
                  <wp:extent cx="1705501" cy="1068779"/>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Desktop\AZBUKA2\AZBUKA2\azbuka2.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07801" cy="1070220"/>
                          </a:xfrm>
                          <a:prstGeom prst="rect">
                            <a:avLst/>
                          </a:prstGeom>
                          <a:noFill/>
                          <a:ln w="9525">
                            <a:noFill/>
                            <a:miter lim="800000"/>
                            <a:headEnd/>
                            <a:tailEnd/>
                          </a:ln>
                        </pic:spPr>
                      </pic:pic>
                    </a:graphicData>
                  </a:graphic>
                </wp:inline>
              </w:drawing>
            </w:r>
          </w:p>
          <w:p w:rsidR="000B54C5" w:rsidRPr="009B0EBD" w:rsidRDefault="000B54C5" w:rsidP="000B54C5">
            <w:pPr>
              <w:jc w:val="center"/>
              <w:rPr>
                <w:noProof/>
              </w:rPr>
            </w:pPr>
            <w:r w:rsidRPr="009B0EBD">
              <w:rPr>
                <w:noProof/>
              </w:rPr>
              <w:t>Комплект игр</w:t>
            </w:r>
          </w:p>
          <w:p w:rsidR="000B54C5" w:rsidRPr="009B0EBD" w:rsidRDefault="000B54C5" w:rsidP="000B54C5">
            <w:pPr>
              <w:jc w:val="center"/>
              <w:rPr>
                <w:noProof/>
              </w:rPr>
            </w:pPr>
            <w:r w:rsidRPr="009B0EBD">
              <w:rPr>
                <w:noProof/>
              </w:rPr>
              <w:t>«Все включено»</w:t>
            </w:r>
          </w:p>
          <w:p w:rsidR="000B54C5" w:rsidRPr="009B0EBD" w:rsidRDefault="000B54C5" w:rsidP="000B54C5">
            <w:pPr>
              <w:jc w:val="center"/>
              <w:rPr>
                <w:noProof/>
              </w:rPr>
            </w:pPr>
          </w:p>
        </w:tc>
        <w:tc>
          <w:tcPr>
            <w:tcW w:w="6042" w:type="dxa"/>
          </w:tcPr>
          <w:p w:rsidR="000B54C5" w:rsidRPr="009B0EBD" w:rsidRDefault="000B54C5" w:rsidP="000B54C5">
            <w:r w:rsidRPr="009B0EBD">
              <w:rPr>
                <w:noProof/>
              </w:rPr>
              <w:t>Комплект включает игры для детей от 2 до 8 лет. Он может использоваться как на индивидуальных, так и на групповых</w:t>
            </w:r>
          </w:p>
          <w:p w:rsidR="000B54C5" w:rsidRPr="009B0EBD" w:rsidRDefault="000B54C5" w:rsidP="000B54C5">
            <w:r w:rsidRPr="009B0EBD">
              <w:t>Этот замечательный комплект содержит интерактивные игры, охватывающие все аспекты развития речи, такие как:</w:t>
            </w:r>
          </w:p>
          <w:p w:rsidR="000B54C5" w:rsidRPr="009B0EBD" w:rsidRDefault="000B54C5" w:rsidP="000B54C5">
            <w:r w:rsidRPr="009B0EBD">
              <w:t>фонематический слух;</w:t>
            </w:r>
          </w:p>
          <w:p w:rsidR="000B54C5" w:rsidRPr="009B0EBD" w:rsidRDefault="000B54C5" w:rsidP="000B54C5">
            <w:proofErr w:type="spellStart"/>
            <w:proofErr w:type="gramStart"/>
            <w:r w:rsidRPr="009B0EBD">
              <w:t>звуко</w:t>
            </w:r>
            <w:proofErr w:type="spellEnd"/>
            <w:r w:rsidRPr="009B0EBD">
              <w:t>-буквенный</w:t>
            </w:r>
            <w:proofErr w:type="gramEnd"/>
            <w:r w:rsidRPr="009B0EBD">
              <w:t xml:space="preserve"> анализ;</w:t>
            </w:r>
          </w:p>
          <w:p w:rsidR="000B54C5" w:rsidRPr="009B0EBD" w:rsidRDefault="000B54C5" w:rsidP="000B54C5">
            <w:r w:rsidRPr="009B0EBD">
              <w:t>грамматические навыки;</w:t>
            </w:r>
          </w:p>
          <w:p w:rsidR="000B54C5" w:rsidRPr="009B0EBD" w:rsidRDefault="000B54C5" w:rsidP="000B54C5">
            <w:r w:rsidRPr="009B0EBD">
              <w:t>лексический запас;</w:t>
            </w:r>
          </w:p>
          <w:p w:rsidR="000B54C5" w:rsidRPr="009B0EBD" w:rsidRDefault="000B54C5" w:rsidP="000B54C5">
            <w:r w:rsidRPr="009B0EBD">
              <w:t>связная речь;</w:t>
            </w:r>
          </w:p>
          <w:p w:rsidR="00C45C39" w:rsidRPr="009B0EBD" w:rsidRDefault="000B54C5" w:rsidP="000B54C5">
            <w:r w:rsidRPr="009B0EBD">
              <w:t>обучение чтению;</w:t>
            </w:r>
          </w:p>
        </w:tc>
      </w:tr>
    </w:tbl>
    <w:p w:rsidR="00AC6CEF" w:rsidRDefault="00AC6CEF" w:rsidP="00410EF9">
      <w:pPr>
        <w:jc w:val="center"/>
      </w:pPr>
    </w:p>
    <w:p w:rsidR="00AC6CEF" w:rsidRPr="00AC6CEF" w:rsidRDefault="00AC6CEF" w:rsidP="00AC6CEF"/>
    <w:p w:rsidR="00AC6CEF" w:rsidRPr="00AC6CEF" w:rsidRDefault="00AC6CEF" w:rsidP="00AC6CEF"/>
    <w:p w:rsidR="00AC6CEF" w:rsidRPr="00AC6CEF" w:rsidRDefault="00AC6CEF" w:rsidP="00AC6CEF"/>
    <w:p w:rsidR="00AC6CEF" w:rsidRDefault="00AC6CEF" w:rsidP="00AC6CEF"/>
    <w:p w:rsidR="00AC6CEF" w:rsidRDefault="00AC6CEF" w:rsidP="00AC6CEF"/>
    <w:p w:rsidR="00410EF9" w:rsidRPr="00AC6CEF" w:rsidRDefault="00AC6CEF" w:rsidP="00AC6CEF">
      <w:pPr>
        <w:tabs>
          <w:tab w:val="left" w:pos="3254"/>
        </w:tabs>
      </w:pPr>
      <w:r>
        <w:tab/>
      </w:r>
    </w:p>
    <w:sectPr w:rsidR="00410EF9" w:rsidRPr="00AC6CEF" w:rsidSect="00A66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476"/>
    <w:multiLevelType w:val="hybridMultilevel"/>
    <w:tmpl w:val="3418DFBC"/>
    <w:lvl w:ilvl="0" w:tplc="010217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410EF9"/>
    <w:rsid w:val="00054F63"/>
    <w:rsid w:val="000B54C5"/>
    <w:rsid w:val="00194884"/>
    <w:rsid w:val="001E28CD"/>
    <w:rsid w:val="0024108F"/>
    <w:rsid w:val="002A7DAB"/>
    <w:rsid w:val="002C3FAE"/>
    <w:rsid w:val="00410EF9"/>
    <w:rsid w:val="00463F51"/>
    <w:rsid w:val="006E08E3"/>
    <w:rsid w:val="00771018"/>
    <w:rsid w:val="007D4692"/>
    <w:rsid w:val="009B0EBD"/>
    <w:rsid w:val="009F6E9C"/>
    <w:rsid w:val="00A277A8"/>
    <w:rsid w:val="00A66843"/>
    <w:rsid w:val="00AB6B7C"/>
    <w:rsid w:val="00AC6CEF"/>
    <w:rsid w:val="00BC182F"/>
    <w:rsid w:val="00C10423"/>
    <w:rsid w:val="00C45C39"/>
    <w:rsid w:val="00CA5EAE"/>
    <w:rsid w:val="00D10246"/>
    <w:rsid w:val="00D96AF7"/>
    <w:rsid w:val="00E4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E28CD"/>
    <w:pPr>
      <w:jc w:val="center"/>
    </w:pPr>
    <w:rPr>
      <w:b/>
      <w:caps/>
      <w:color w:val="FF0000"/>
      <w:sz w:val="160"/>
      <w:szCs w:val="160"/>
    </w:rPr>
  </w:style>
  <w:style w:type="table" w:styleId="a3">
    <w:name w:val="Table Grid"/>
    <w:basedOn w:val="a1"/>
    <w:uiPriority w:val="59"/>
    <w:rsid w:val="00410E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10EF9"/>
    <w:rPr>
      <w:rFonts w:ascii="Tahoma" w:hAnsi="Tahoma" w:cs="Tahoma"/>
      <w:sz w:val="16"/>
      <w:szCs w:val="16"/>
    </w:rPr>
  </w:style>
  <w:style w:type="character" w:customStyle="1" w:styleId="a5">
    <w:name w:val="Текст выноски Знак"/>
    <w:basedOn w:val="a0"/>
    <w:link w:val="a4"/>
    <w:uiPriority w:val="99"/>
    <w:semiHidden/>
    <w:rsid w:val="00410EF9"/>
    <w:rPr>
      <w:rFonts w:ascii="Tahoma" w:hAnsi="Tahoma" w:cs="Tahoma"/>
      <w:sz w:val="16"/>
      <w:szCs w:val="16"/>
    </w:rPr>
  </w:style>
  <w:style w:type="paragraph" w:styleId="a6">
    <w:name w:val="Normal (Web)"/>
    <w:basedOn w:val="a"/>
    <w:uiPriority w:val="99"/>
    <w:unhideWhenUsed/>
    <w:rsid w:val="0024108F"/>
    <w:pPr>
      <w:spacing w:before="100" w:beforeAutospacing="1" w:after="100" w:afterAutospacing="1"/>
    </w:pPr>
  </w:style>
  <w:style w:type="paragraph" w:styleId="a7">
    <w:name w:val="List Paragraph"/>
    <w:basedOn w:val="a"/>
    <w:uiPriority w:val="34"/>
    <w:qFormat/>
    <w:rsid w:val="007D4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dc:creator>
  <cp:keywords/>
  <dc:description/>
  <cp:lastModifiedBy>Психолог</cp:lastModifiedBy>
  <cp:revision>13</cp:revision>
  <cp:lastPrinted>2016-11-05T12:40:00Z</cp:lastPrinted>
  <dcterms:created xsi:type="dcterms:W3CDTF">2015-02-05T15:39:00Z</dcterms:created>
  <dcterms:modified xsi:type="dcterms:W3CDTF">2019-10-16T08:23:00Z</dcterms:modified>
</cp:coreProperties>
</file>